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240" w:lineRule="atLeast"/>
        <w:rPr>
          <w:rFonts w:ascii="仿宋_GB2312" w:hAnsi="仿宋_GB2312"/>
          <w:spacing w:val="-6"/>
          <w:sz w:val="32"/>
          <w:szCs w:val="32"/>
        </w:rPr>
      </w:pPr>
      <w:r>
        <w:rPr>
          <w:rFonts w:ascii="仿宋_GB2312" w:hAnsi="仿宋_GB2312"/>
          <w:spacing w:val="-6"/>
          <w:sz w:val="32"/>
          <w:szCs w:val="32"/>
        </w:rPr>
        <w:t>附件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：</w:t>
      </w:r>
    </w:p>
    <w:p>
      <w:pPr>
        <w:autoSpaceDE w:val="0"/>
        <w:snapToGrid w:val="0"/>
        <w:spacing w:line="240" w:lineRule="atLeast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仿宋_GB2312" w:hAnsi="仿宋_GB2312"/>
          <w:spacing w:val="-6"/>
          <w:sz w:val="32"/>
          <w:szCs w:val="32"/>
        </w:rPr>
        <w:t xml:space="preserve">       </w:t>
      </w:r>
      <w:r>
        <w:rPr>
          <w:rFonts w:hint="eastAsia" w:ascii="宋体" w:hAnsi="宋体" w:eastAsia="宋体"/>
          <w:b/>
          <w:bCs/>
          <w:sz w:val="44"/>
          <w:szCs w:val="44"/>
        </w:rPr>
        <w:t>2018年福建企业100强名单</w:t>
      </w:r>
    </w:p>
    <w:p>
      <w:pPr>
        <w:rPr>
          <w:rFonts w:hint="eastAsia"/>
        </w:rPr>
      </w:pPr>
    </w:p>
    <w:p/>
    <w:tbl>
      <w:tblPr>
        <w:tblStyle w:val="3"/>
        <w:tblW w:w="850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742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vAlign w:val="center"/>
          </w:tcPr>
          <w:p>
            <w:pPr>
              <w:widowControl/>
              <w:ind w:firstLine="157" w:firstLineChars="49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 w:colFirst="0" w:colLast="1"/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ind w:firstLine="472" w:firstLineChars="147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bookmarkEnd w:id="0"/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兴业银行股份有限公司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厦门国贸控股集团有限公司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厦门建发集团有限公司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厦门象屿集团有限公司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阳光龙净集团有限公司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国网福建省电力有限公司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紫金矿业集团股份有限公司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 xml:space="preserve">福晟集团有限公司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福建省冶金控股有限责任公司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福建省能源集团有限责任公司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永辉超市股份有限公司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青拓集团有限公司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福建联合石油化工有限公司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福建省农村信用社联合社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均和（厦门）控股有限公司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中化泉州石化有限公司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恒申控股集团有限公司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福建石油化工集团责任有限公司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福建省汽车工业集团有限公司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厦门航空有限公司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福建永荣控股集团有限公司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福建省金纶高纤股份有限公司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泰禾集团股份有限公司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三盛集团有限公司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中国移动通信集团福建有限公司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厦门港务控股集团有限公司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福建省电子信息（集团）有限责任公司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厦门禹洲集团股份有限公司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中建海峡建设发展有限公司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盛屯矿业集团股份有限公司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宁德时代新能源科技股份有限公司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福建恒安集团有限公司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达利食品有限公司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厦门路桥工程物资有限公司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厦门中骏集团有限公司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福建捷联电子有限公司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福耀玻璃工业集团股份有限公司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安踏体育用品集团有限公司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福建圣农控股集团有限公司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三宝集团股份有限公司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中国电信股份有限公司福建分公司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中交建宏峰集团有限公司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福建高速公路集团有限公司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福建建工集团有限责任公司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龙岩烟草工业有限责任公司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兴业证券股份有限公司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厦门恒兴集团有限公司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厦门夏商集团有限公司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中建四局第四建筑工程有限公司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宝钢德盛不锈钢有限公司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福建省和顺碳素有限公司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厦门翔业集团有限公司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福建省交通运输集团有限责任公司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福建正祥投资集团有限公司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厦门天马微电子有限公司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福建省国有资产管理有限公司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厦门国际银行股份有限公司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厦门烟草工业有限责任公司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祥兴（福建）箱包集团有限公司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福建省闽南建筑工程有限公司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中国人民财产保险股份有限公司福建省分公司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厦门市万科企业有限公司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福建宁德核电有限公司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中交一公局厦门工程有限公司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厦门正新橡胶工业有限公司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鹭燕医药股份有限公司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福建海峡银行股份有限公司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福建福清核电有限公司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中国（福建）对外贸易中心集团有限责任公司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冠城大通股份有限公司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中建鑫宏鼎环境集团有限公司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厦门航空开发股份有限公司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泉州安通物流有限公司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福建匹克集团有限公司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中国联合网络通信有限公司福建省分公司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福建实达集团股份有限公司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厦门市明穗粮油贸易有限公司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平安银行股份有限公司福州分行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厦门住宅建设集团有限公司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福建省第五建筑工程公司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福建裕华集团有限公司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厦门经济特区房地产开发集团有限公司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泉州银行股份有限公司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福建炼油化工有限公司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厦门宏发电声股份有限公司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福建百宏聚纤科技实业有限公司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福建省惠东建筑工程有限公司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福建省永富建设集团有限公司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福建省中马建设工程有限公司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福建省长乐市山力化纤有限公司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福建省九龙建设集团有限公司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中城建设有限责任公司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福建省投资开发集团有限责任公司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捷太格特转向系统（厦门）有限公司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厦门海澳集团有限公司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特步（中国）有限公司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福建省东霖建设工程有限公司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福建省华荣建设集团有限公司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福建傲农生物科技集团股份有限公司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7420" w:type="dxa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华映科技（集团）股份有限公司</w:t>
            </w:r>
          </w:p>
        </w:tc>
      </w:tr>
    </w:tbl>
    <w:p>
      <w:pPr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AC8"/>
    <w:rsid w:val="00AA29A0"/>
    <w:rsid w:val="00E82AC8"/>
    <w:rsid w:val="63627F9C"/>
    <w:rsid w:val="69E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258</Words>
  <Characters>1476</Characters>
  <Lines>12</Lines>
  <Paragraphs>3</Paragraphs>
  <TotalTime>14</TotalTime>
  <ScaleCrop>false</ScaleCrop>
  <LinksUpToDate>false</LinksUpToDate>
  <CharactersWithSpaces>1731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2018-10-31T02:30:00Z</dcterms:created>
  <dc:creator>Sky123.Org</dc:creator>
  <cp:lastModifiedBy>caiying</cp:lastModifiedBy>
  <cp:lastPrinted>2018-10-31T02:39:19Z</cp:lastPrinted>
  <dcterms:modified xsi:type="dcterms:W3CDTF">2018-10-31T02:46:21Z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